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EC276" w14:textId="77777777" w:rsidR="003335BC" w:rsidRPr="003335BC" w:rsidRDefault="003335BC" w:rsidP="008664B4">
      <w:pPr>
        <w:spacing w:after="0" w:line="240" w:lineRule="auto"/>
        <w:jc w:val="center"/>
        <w:rPr>
          <w:rFonts w:ascii="Source Sans Pro" w:hAnsi="Source Sans Pro"/>
          <w:b/>
          <w:bCs/>
          <w:sz w:val="18"/>
          <w:szCs w:val="18"/>
        </w:rPr>
      </w:pPr>
    </w:p>
    <w:p w14:paraId="66B7E37B" w14:textId="7C96E3D1" w:rsidR="008664B4" w:rsidRDefault="00CA7A66" w:rsidP="008664B4">
      <w:pPr>
        <w:spacing w:after="0" w:line="240" w:lineRule="auto"/>
        <w:jc w:val="center"/>
        <w:rPr>
          <w:rFonts w:ascii="Source Sans Pro" w:hAnsi="Source Sans Pro"/>
          <w:b/>
          <w:bCs/>
          <w:sz w:val="32"/>
          <w:szCs w:val="32"/>
        </w:rPr>
      </w:pPr>
      <w:r w:rsidRPr="008664B4">
        <w:rPr>
          <w:rFonts w:ascii="Source Sans Pro" w:hAnsi="Source Sans Pro"/>
          <w:b/>
          <w:bCs/>
          <w:sz w:val="32"/>
          <w:szCs w:val="32"/>
        </w:rPr>
        <w:t xml:space="preserve">Informationsblatt für die neuen Regeln für diese und </w:t>
      </w:r>
    </w:p>
    <w:p w14:paraId="56F1B215" w14:textId="02CF5336" w:rsidR="00CA7A66" w:rsidRPr="008664B4" w:rsidRDefault="00CA7A66" w:rsidP="008664B4">
      <w:pPr>
        <w:spacing w:after="0" w:line="240" w:lineRule="auto"/>
        <w:jc w:val="center"/>
        <w:rPr>
          <w:rFonts w:ascii="Source Sans Pro" w:hAnsi="Source Sans Pro"/>
          <w:b/>
          <w:bCs/>
          <w:sz w:val="32"/>
          <w:szCs w:val="32"/>
        </w:rPr>
      </w:pPr>
      <w:r w:rsidRPr="008664B4">
        <w:rPr>
          <w:rFonts w:ascii="Source Sans Pro" w:hAnsi="Source Sans Pro"/>
          <w:b/>
          <w:bCs/>
          <w:sz w:val="32"/>
          <w:szCs w:val="32"/>
        </w:rPr>
        <w:t>zukünftige Versammlungen</w:t>
      </w:r>
    </w:p>
    <w:p w14:paraId="4165E6A8" w14:textId="7D4E9D1C" w:rsidR="00CA7A66" w:rsidRPr="008664B4" w:rsidRDefault="00CA7A66" w:rsidP="002065CB">
      <w:pPr>
        <w:rPr>
          <w:rFonts w:ascii="Source Sans Pro" w:hAnsi="Source Sans Pro"/>
          <w:b/>
          <w:bCs/>
          <w:sz w:val="10"/>
          <w:szCs w:val="10"/>
        </w:rPr>
      </w:pPr>
    </w:p>
    <w:p w14:paraId="44D339EC" w14:textId="27200AED" w:rsidR="00CF3AF7" w:rsidRPr="003335BC" w:rsidRDefault="00CA7A66" w:rsidP="00CF3AF7">
      <w:pPr>
        <w:spacing w:after="0" w:line="240" w:lineRule="auto"/>
        <w:jc w:val="both"/>
        <w:rPr>
          <w:rFonts w:ascii="Source Sans Pro" w:hAnsi="Source Sans Pro"/>
        </w:rPr>
      </w:pPr>
      <w:r w:rsidRPr="003335BC">
        <w:rPr>
          <w:rFonts w:ascii="Source Sans Pro" w:hAnsi="Source Sans Pro"/>
        </w:rPr>
        <w:t xml:space="preserve">Das Wohnungseigentumsgesetz wurde mit Wirkung zum 01.Dezember 2020 völlig unabhängig von den Erschwernissen aufgrund der Pandemie erheblich reformiert. </w:t>
      </w:r>
    </w:p>
    <w:p w14:paraId="134FE0D8" w14:textId="29A910C4" w:rsidR="00CF3AF7" w:rsidRDefault="00CF3AF7" w:rsidP="00CF3AF7">
      <w:pPr>
        <w:spacing w:after="0" w:line="240" w:lineRule="auto"/>
        <w:jc w:val="both"/>
        <w:rPr>
          <w:rFonts w:ascii="Source Sans Pro" w:hAnsi="Source Sans Pro"/>
        </w:rPr>
      </w:pPr>
    </w:p>
    <w:p w14:paraId="6F8307AF" w14:textId="6C2B3986" w:rsidR="00CF3AF7" w:rsidRPr="003335BC" w:rsidRDefault="00CF3AF7" w:rsidP="00CF3AF7">
      <w:pPr>
        <w:spacing w:after="0" w:line="240" w:lineRule="auto"/>
        <w:jc w:val="both"/>
        <w:rPr>
          <w:rFonts w:ascii="Source Sans Pro" w:hAnsi="Source Sans Pro"/>
        </w:rPr>
      </w:pPr>
      <w:r w:rsidRPr="003335BC">
        <w:rPr>
          <w:rFonts w:ascii="Source Sans Pro" w:hAnsi="Source Sans Pro"/>
        </w:rPr>
        <w:t>Daher gelten für diese und alle kommenden Eigentümerversammlungen folgende Neuerungen:</w:t>
      </w:r>
    </w:p>
    <w:p w14:paraId="514AAF5B" w14:textId="742A2CC9" w:rsidR="00CF3AF7" w:rsidRPr="003335BC" w:rsidRDefault="00CF3AF7" w:rsidP="00CF3AF7">
      <w:pPr>
        <w:pStyle w:val="Listenabsatz"/>
        <w:numPr>
          <w:ilvl w:val="0"/>
          <w:numId w:val="2"/>
        </w:numPr>
        <w:spacing w:after="0" w:line="240" w:lineRule="auto"/>
        <w:jc w:val="both"/>
        <w:rPr>
          <w:rFonts w:ascii="Source Sans Pro" w:hAnsi="Source Sans Pro"/>
        </w:rPr>
      </w:pPr>
      <w:r w:rsidRPr="003335BC">
        <w:rPr>
          <w:rFonts w:ascii="Source Sans Pro" w:hAnsi="Source Sans Pro"/>
        </w:rPr>
        <w:t xml:space="preserve">Ladungsfrist </w:t>
      </w:r>
      <w:r w:rsidR="00745ACC" w:rsidRPr="003335BC">
        <w:rPr>
          <w:rFonts w:ascii="Source Sans Pro" w:hAnsi="Source Sans Pro"/>
        </w:rPr>
        <w:t xml:space="preserve">beträgt im Regelfall </w:t>
      </w:r>
      <w:r w:rsidR="00745ACC" w:rsidRPr="003335BC">
        <w:rPr>
          <w:rFonts w:ascii="Source Sans Pro" w:hAnsi="Source Sans Pro"/>
          <w:u w:val="single"/>
        </w:rPr>
        <w:t>drei</w:t>
      </w:r>
      <w:r w:rsidR="00745ACC" w:rsidRPr="003335BC">
        <w:rPr>
          <w:rFonts w:ascii="Source Sans Pro" w:hAnsi="Source Sans Pro"/>
        </w:rPr>
        <w:t xml:space="preserve"> Wochen.</w:t>
      </w:r>
    </w:p>
    <w:p w14:paraId="315DDDC5" w14:textId="19452DA2" w:rsidR="00745ACC" w:rsidRPr="003335BC" w:rsidRDefault="00745ACC" w:rsidP="00CF3AF7">
      <w:pPr>
        <w:pStyle w:val="Listenabsatz"/>
        <w:numPr>
          <w:ilvl w:val="0"/>
          <w:numId w:val="2"/>
        </w:numPr>
        <w:spacing w:after="0" w:line="240" w:lineRule="auto"/>
        <w:jc w:val="both"/>
        <w:rPr>
          <w:rFonts w:ascii="Source Sans Pro" w:hAnsi="Source Sans Pro"/>
        </w:rPr>
      </w:pPr>
      <w:r w:rsidRPr="003335BC">
        <w:rPr>
          <w:rFonts w:ascii="Source Sans Pro" w:hAnsi="Source Sans Pro"/>
        </w:rPr>
        <w:t>Jede Eigentümerversammlung ist automatisch beschlussfähig, unabhängig davon, wie viele Wohnungseigentümer anwesend oder vertreten sind. Theoretisch genügt, dass ein stimmberechtigter Eigentümer vertreten ist.</w:t>
      </w:r>
    </w:p>
    <w:p w14:paraId="0DF46743" w14:textId="353D32D0" w:rsidR="00745ACC" w:rsidRPr="003335BC" w:rsidRDefault="00745ACC" w:rsidP="00CF3AF7">
      <w:pPr>
        <w:pStyle w:val="Listenabsatz"/>
        <w:numPr>
          <w:ilvl w:val="0"/>
          <w:numId w:val="2"/>
        </w:numPr>
        <w:spacing w:after="0" w:line="240" w:lineRule="auto"/>
        <w:jc w:val="both"/>
        <w:rPr>
          <w:rFonts w:ascii="Source Sans Pro" w:hAnsi="Source Sans Pro"/>
        </w:rPr>
      </w:pPr>
      <w:r w:rsidRPr="003335BC">
        <w:rPr>
          <w:rFonts w:ascii="Source Sans Pro" w:hAnsi="Source Sans Pro"/>
        </w:rPr>
        <w:t xml:space="preserve">Die Vollmacht für die Versammlung kann in sogenannter Textform </w:t>
      </w:r>
      <w:r w:rsidR="001B067F" w:rsidRPr="003335BC">
        <w:rPr>
          <w:rFonts w:ascii="Source Sans Pro" w:hAnsi="Source Sans Pro"/>
        </w:rPr>
        <w:t>erteilt werden. Es bedarf keines Schriftstücks mit Originalunterschrift, sondern Mail/FAX genügt.</w:t>
      </w:r>
    </w:p>
    <w:p w14:paraId="07D32896" w14:textId="33826438" w:rsidR="001B067F" w:rsidRPr="003335BC" w:rsidRDefault="001B067F" w:rsidP="001B067F">
      <w:pPr>
        <w:spacing w:after="0" w:line="240" w:lineRule="auto"/>
        <w:jc w:val="both"/>
        <w:rPr>
          <w:rFonts w:ascii="Source Sans Pro" w:hAnsi="Source Sans Pro"/>
        </w:rPr>
      </w:pPr>
    </w:p>
    <w:p w14:paraId="2C4B8BD1" w14:textId="67EA6AC4" w:rsidR="001B067F" w:rsidRPr="003335BC" w:rsidRDefault="001B067F" w:rsidP="001B067F">
      <w:pPr>
        <w:spacing w:after="0" w:line="240" w:lineRule="auto"/>
        <w:jc w:val="both"/>
        <w:rPr>
          <w:rFonts w:ascii="Source Sans Pro" w:hAnsi="Source Sans Pro"/>
        </w:rPr>
      </w:pPr>
      <w:r w:rsidRPr="003335BC">
        <w:rPr>
          <w:rFonts w:ascii="Source Sans Pro" w:hAnsi="Source Sans Pro"/>
        </w:rPr>
        <w:t>Darüber hinaus wurden zwei neue Gestaltungsmittel geschaffen:</w:t>
      </w:r>
    </w:p>
    <w:p w14:paraId="270ED5DE" w14:textId="37041923" w:rsidR="001B067F" w:rsidRPr="003335BC" w:rsidRDefault="001B067F" w:rsidP="001B067F">
      <w:pPr>
        <w:pStyle w:val="Listenabsatz"/>
        <w:numPr>
          <w:ilvl w:val="0"/>
          <w:numId w:val="3"/>
        </w:numPr>
        <w:spacing w:after="0" w:line="240" w:lineRule="auto"/>
        <w:jc w:val="both"/>
        <w:rPr>
          <w:rFonts w:ascii="Source Sans Pro" w:hAnsi="Source Sans Pro"/>
        </w:rPr>
      </w:pPr>
      <w:r w:rsidRPr="003335BC">
        <w:rPr>
          <w:rFonts w:ascii="Source Sans Pro" w:hAnsi="Source Sans Pro"/>
        </w:rPr>
        <w:t>Durch Mehrheitsbeschluss kann gestattet werden, dass Wohnungseigentümer mittels Telekommunikation (online) an Eigentümerversammlungen teilnehmen können.</w:t>
      </w:r>
    </w:p>
    <w:p w14:paraId="33452CCE" w14:textId="7E5FECB7" w:rsidR="001B067F" w:rsidRPr="003335BC" w:rsidRDefault="001B067F" w:rsidP="001B067F">
      <w:pPr>
        <w:pStyle w:val="Listenabsatz"/>
        <w:numPr>
          <w:ilvl w:val="0"/>
          <w:numId w:val="3"/>
        </w:numPr>
        <w:spacing w:after="0" w:line="240" w:lineRule="auto"/>
        <w:jc w:val="both"/>
        <w:rPr>
          <w:rFonts w:ascii="Source Sans Pro" w:hAnsi="Source Sans Pro"/>
        </w:rPr>
      </w:pPr>
      <w:r w:rsidRPr="003335BC">
        <w:rPr>
          <w:rFonts w:ascii="Source Sans Pro" w:hAnsi="Source Sans Pro"/>
        </w:rPr>
        <w:t>Einzelne Tagesordnungspunkte können in der Weise vertagt werden</w:t>
      </w:r>
      <w:r w:rsidR="008664B4" w:rsidRPr="003335BC">
        <w:rPr>
          <w:rFonts w:ascii="Source Sans Pro" w:hAnsi="Source Sans Pro"/>
        </w:rPr>
        <w:t>, dass über diese im Wege eines Umlaufbeschlusses mit einfacher Mehrheit (mehr Ja- als Nein-Stimmen) beschlossen wird, während sonst schriftliche Umlaufbeschlüsse weiterhin der Zustimmung aller Eigentümer bedürfen.</w:t>
      </w:r>
    </w:p>
    <w:p w14:paraId="410914C1" w14:textId="1371E8CC" w:rsidR="008664B4" w:rsidRPr="003335BC" w:rsidRDefault="008664B4" w:rsidP="008664B4">
      <w:pPr>
        <w:spacing w:after="0" w:line="240" w:lineRule="auto"/>
        <w:jc w:val="both"/>
        <w:rPr>
          <w:rFonts w:ascii="Source Sans Pro" w:hAnsi="Source Sans Pro"/>
        </w:rPr>
      </w:pPr>
    </w:p>
    <w:p w14:paraId="13FCA6C4" w14:textId="14F45B81" w:rsidR="008664B4" w:rsidRPr="003335BC" w:rsidRDefault="008664B4" w:rsidP="008664B4">
      <w:pPr>
        <w:spacing w:after="0" w:line="240" w:lineRule="auto"/>
        <w:jc w:val="both"/>
        <w:rPr>
          <w:rFonts w:ascii="Source Sans Pro" w:hAnsi="Source Sans Pro"/>
        </w:rPr>
      </w:pPr>
      <w:r w:rsidRPr="003335BC">
        <w:rPr>
          <w:rFonts w:ascii="Source Sans Pro" w:hAnsi="Source Sans Pro"/>
        </w:rPr>
        <w:t>Für folgende Beschlussinhalte wurden Neuerungen geschaffen:</w:t>
      </w:r>
    </w:p>
    <w:p w14:paraId="7D6721E7" w14:textId="6C9DA826" w:rsidR="008664B4" w:rsidRPr="003335BC" w:rsidRDefault="008664B4" w:rsidP="008664B4">
      <w:pPr>
        <w:pStyle w:val="Listenabsatz"/>
        <w:numPr>
          <w:ilvl w:val="0"/>
          <w:numId w:val="4"/>
        </w:numPr>
        <w:spacing w:after="0" w:line="240" w:lineRule="auto"/>
        <w:jc w:val="both"/>
        <w:rPr>
          <w:rFonts w:ascii="Source Sans Pro" w:hAnsi="Source Sans Pro"/>
        </w:rPr>
      </w:pPr>
      <w:r w:rsidRPr="003335BC">
        <w:rPr>
          <w:rFonts w:ascii="Source Sans Pro" w:hAnsi="Source Sans Pro"/>
        </w:rPr>
        <w:t>Nicht nur Erhaltungsmaßnahmen (Instandhaltung), sondern auch bauliche Veränderungen am gemeinschaftlichen Grundstück und Gebäude können fortan mit einfacher Mehrheit beschlossen werden. Die Minderheit kann sich dagegen nur wenden, falls die Maßnahme eine grundlegende Umgestaltung der Anlage mit sich bringt oder einzelne Eigentümer unbillig beeinträchtigt werden. Besonders Privilegierungen gelten für bauliche Veränderungen</w:t>
      </w:r>
      <w:r w:rsidR="003335BC" w:rsidRPr="003335BC">
        <w:rPr>
          <w:rFonts w:ascii="Source Sans Pro" w:hAnsi="Source Sans Pro"/>
        </w:rPr>
        <w:t>, die der E-Mobilität, dem Einbruchsschutz, der Barrierefreiheit oder dem Glasfaserausbau dienen. Die Genehmigung solcher Maßnahmen können einzelne Eigentümer beanspruchen.</w:t>
      </w:r>
    </w:p>
    <w:p w14:paraId="7748A1BA" w14:textId="51A22A79" w:rsidR="003335BC" w:rsidRPr="003335BC" w:rsidRDefault="003335BC" w:rsidP="008664B4">
      <w:pPr>
        <w:pStyle w:val="Listenabsatz"/>
        <w:numPr>
          <w:ilvl w:val="0"/>
          <w:numId w:val="4"/>
        </w:numPr>
        <w:spacing w:after="0" w:line="240" w:lineRule="auto"/>
        <w:jc w:val="both"/>
        <w:rPr>
          <w:rFonts w:ascii="Source Sans Pro" w:hAnsi="Source Sans Pro"/>
        </w:rPr>
      </w:pPr>
      <w:r w:rsidRPr="003335BC">
        <w:rPr>
          <w:rFonts w:ascii="Source Sans Pro" w:hAnsi="Source Sans Pro"/>
        </w:rPr>
        <w:t>Eine im Schwerpunkt formale Neuerung betrifft die Beschlussfassung über Wirtschaftsplan und Jahresabrechnung. Es werden nicht mehr Gesamtabrechnung und Gesamtwirtschaftsplan beschlossen, sondern nur noch die Zahlbeträge, die Sie als Eigentümer aus Wirtschaftsplan und Jahresabrechnung treffen. Um einen Überblic</w:t>
      </w:r>
      <w:r w:rsidR="00A93826">
        <w:rPr>
          <w:rFonts w:ascii="Source Sans Pro" w:hAnsi="Source Sans Pro"/>
        </w:rPr>
        <w:t>k</w:t>
      </w:r>
      <w:r w:rsidRPr="003335BC">
        <w:rPr>
          <w:rFonts w:ascii="Source Sans Pro" w:hAnsi="Source Sans Pro"/>
        </w:rPr>
        <w:t xml:space="preserve"> über das Vermögen der Gemeinschaft zu </w:t>
      </w:r>
      <w:r w:rsidR="00A93826" w:rsidRPr="003335BC">
        <w:rPr>
          <w:rFonts w:ascii="Source Sans Pro" w:hAnsi="Source Sans Pro"/>
        </w:rPr>
        <w:t>erhalten,</w:t>
      </w:r>
      <w:r w:rsidRPr="003335BC">
        <w:rPr>
          <w:rFonts w:ascii="Source Sans Pro" w:hAnsi="Source Sans Pro"/>
        </w:rPr>
        <w:t xml:space="preserve"> erstatten Ihnen die Verwaltung einmal im Jahr einen Vermögensbericht (Entwicklung Bankkonten, Abstimmung Vermögen) auf den Schluss des Wirtschaftsjahres.</w:t>
      </w:r>
    </w:p>
    <w:sectPr w:rsidR="003335BC" w:rsidRPr="003335BC" w:rsidSect="0029491E">
      <w:headerReference w:type="default" r:id="rId7"/>
      <w:footerReference w:type="default" r:id="rId8"/>
      <w:pgSz w:w="11906" w:h="16838"/>
      <w:pgMar w:top="3260" w:right="849"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9FD06" w14:textId="77777777" w:rsidR="00F65067" w:rsidRDefault="00F65067" w:rsidP="008756B1">
      <w:pPr>
        <w:spacing w:after="0" w:line="240" w:lineRule="auto"/>
      </w:pPr>
      <w:r>
        <w:separator/>
      </w:r>
    </w:p>
  </w:endnote>
  <w:endnote w:type="continuationSeparator" w:id="0">
    <w:p w14:paraId="71128050" w14:textId="77777777" w:rsidR="00F65067" w:rsidRDefault="00F65067" w:rsidP="00875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888" w:type="dxa"/>
      <w:tblInd w:w="-851" w:type="dxa"/>
      <w:tblCellMar>
        <w:left w:w="0" w:type="dxa"/>
        <w:right w:w="0" w:type="dxa"/>
      </w:tblCellMar>
      <w:tblLook w:val="04A0" w:firstRow="1" w:lastRow="0" w:firstColumn="1" w:lastColumn="0" w:noHBand="0" w:noVBand="1"/>
    </w:tblPr>
    <w:tblGrid>
      <w:gridCol w:w="1985"/>
      <w:gridCol w:w="1703"/>
      <w:gridCol w:w="2550"/>
      <w:gridCol w:w="2321"/>
      <w:gridCol w:w="2329"/>
    </w:tblGrid>
    <w:tr w:rsidR="008756B1" w14:paraId="7FA542A6" w14:textId="77777777" w:rsidTr="008756B1">
      <w:trPr>
        <w:gridBefore w:val="2"/>
        <w:wBefore w:w="3688" w:type="dxa"/>
        <w:trHeight w:val="794"/>
      </w:trPr>
      <w:tc>
        <w:tcPr>
          <w:tcW w:w="2550" w:type="dxa"/>
          <w:tcBorders>
            <w:top w:val="nil"/>
            <w:left w:val="nil"/>
            <w:bottom w:val="nil"/>
            <w:right w:val="nil"/>
          </w:tcBorders>
          <w:shd w:val="clear" w:color="auto" w:fill="auto"/>
        </w:tcPr>
        <w:p w14:paraId="5D49EFD7" w14:textId="77777777" w:rsidR="008756B1" w:rsidRPr="008756B1"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r>
            <w:rPr>
              <w:noProof/>
              <w:sz w:val="12"/>
              <w:szCs w:val="20"/>
            </w:rPr>
            <w:drawing>
              <wp:anchor distT="0" distB="0" distL="0" distR="0" simplePos="0" relativeHeight="251667456" behindDoc="1" locked="0" layoutInCell="1" allowOverlap="1" wp14:anchorId="73D0ADC1" wp14:editId="27A6CAF0">
                <wp:simplePos x="0" y="0"/>
                <wp:positionH relativeFrom="page">
                  <wp:posOffset>-507365</wp:posOffset>
                </wp:positionH>
                <wp:positionV relativeFrom="paragraph">
                  <wp:posOffset>-59055</wp:posOffset>
                </wp:positionV>
                <wp:extent cx="428625" cy="426085"/>
                <wp:effectExtent l="0" t="0" r="9525" b="0"/>
                <wp:wrapNone/>
                <wp:docPr id="2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png"/>
                        <pic:cNvPicPr>
                          <a:picLocks noChangeAspect="1" noChangeArrowheads="1"/>
                        </pic:cNvPicPr>
                      </pic:nvPicPr>
                      <pic:blipFill>
                        <a:blip r:embed="rId1"/>
                        <a:stretch>
                          <a:fillRect/>
                        </a:stretch>
                      </pic:blipFill>
                      <pic:spPr bwMode="auto">
                        <a:xfrm>
                          <a:off x="0" y="0"/>
                          <a:ext cx="428625" cy="42608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8756B1">
            <w:rPr>
              <w:color w:val="231F20"/>
              <w:sz w:val="14"/>
              <w:szCs w:val="14"/>
            </w:rPr>
            <w:t>Mitglied</w:t>
          </w:r>
          <w:proofErr w:type="spellEnd"/>
          <w:r w:rsidRPr="008756B1">
            <w:rPr>
              <w:color w:val="231F20"/>
              <w:sz w:val="14"/>
              <w:szCs w:val="14"/>
            </w:rPr>
            <w:t xml:space="preserve"> </w:t>
          </w:r>
          <w:proofErr w:type="spellStart"/>
          <w:r w:rsidRPr="008756B1">
            <w:rPr>
              <w:color w:val="231F20"/>
              <w:sz w:val="14"/>
              <w:szCs w:val="14"/>
            </w:rPr>
            <w:t>im</w:t>
          </w:r>
          <w:proofErr w:type="spellEnd"/>
          <w:r w:rsidRPr="008756B1">
            <w:rPr>
              <w:color w:val="231F20"/>
              <w:sz w:val="14"/>
              <w:szCs w:val="14"/>
            </w:rPr>
            <w:t xml:space="preserve"> </w:t>
          </w:r>
        </w:p>
        <w:p w14:paraId="7882FC9E" w14:textId="77777777" w:rsidR="008756B1" w:rsidRPr="008756B1"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proofErr w:type="spellStart"/>
          <w:r w:rsidRPr="008756B1">
            <w:rPr>
              <w:color w:val="231F20"/>
              <w:sz w:val="14"/>
              <w:szCs w:val="14"/>
            </w:rPr>
            <w:t>Immobilienverband</w:t>
          </w:r>
          <w:proofErr w:type="spellEnd"/>
          <w:r w:rsidRPr="008756B1">
            <w:rPr>
              <w:color w:val="231F20"/>
              <w:sz w:val="14"/>
              <w:szCs w:val="14"/>
            </w:rPr>
            <w:t xml:space="preserve"> Deutschland </w:t>
          </w:r>
        </w:p>
        <w:p w14:paraId="542240B8" w14:textId="77777777" w:rsidR="008756B1"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r w:rsidRPr="008756B1">
            <w:rPr>
              <w:color w:val="231F20"/>
              <w:sz w:val="14"/>
              <w:szCs w:val="14"/>
            </w:rPr>
            <w:t xml:space="preserve">IVD </w:t>
          </w:r>
          <w:proofErr w:type="spellStart"/>
          <w:r w:rsidRPr="008756B1">
            <w:rPr>
              <w:color w:val="231F20"/>
              <w:sz w:val="14"/>
              <w:szCs w:val="14"/>
            </w:rPr>
            <w:t>Regionalverband</w:t>
          </w:r>
          <w:proofErr w:type="spellEnd"/>
          <w:r w:rsidRPr="008756B1">
            <w:rPr>
              <w:color w:val="231F20"/>
              <w:sz w:val="14"/>
              <w:szCs w:val="14"/>
            </w:rPr>
            <w:t xml:space="preserve"> West</w:t>
          </w:r>
        </w:p>
      </w:tc>
      <w:tc>
        <w:tcPr>
          <w:tcW w:w="2321" w:type="dxa"/>
          <w:tcBorders>
            <w:top w:val="nil"/>
            <w:left w:val="nil"/>
            <w:bottom w:val="nil"/>
            <w:right w:val="nil"/>
          </w:tcBorders>
          <w:shd w:val="clear" w:color="auto" w:fill="auto"/>
        </w:tcPr>
        <w:p w14:paraId="4119AE7B" w14:textId="77777777" w:rsidR="008756B1"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p>
      </w:tc>
      <w:tc>
        <w:tcPr>
          <w:tcW w:w="2329" w:type="dxa"/>
          <w:tcBorders>
            <w:top w:val="nil"/>
            <w:left w:val="nil"/>
            <w:bottom w:val="nil"/>
            <w:right w:val="nil"/>
          </w:tcBorders>
          <w:shd w:val="clear" w:color="auto" w:fill="auto"/>
        </w:tcPr>
        <w:p w14:paraId="11478425" w14:textId="77777777" w:rsidR="008756B1"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p>
      </w:tc>
    </w:tr>
    <w:tr w:rsidR="008756B1" w14:paraId="76AEF014" w14:textId="77777777" w:rsidTr="008756B1">
      <w:trPr>
        <w:trHeight w:val="794"/>
      </w:trPr>
      <w:tc>
        <w:tcPr>
          <w:tcW w:w="1985" w:type="dxa"/>
          <w:tcBorders>
            <w:top w:val="single" w:sz="4" w:space="0" w:color="auto"/>
            <w:left w:val="nil"/>
            <w:bottom w:val="nil"/>
            <w:right w:val="nil"/>
          </w:tcBorders>
          <w:shd w:val="clear" w:color="auto" w:fill="auto"/>
          <w:vAlign w:val="center"/>
        </w:tcPr>
        <w:p w14:paraId="01FAD7E3" w14:textId="77777777" w:rsidR="008756B1" w:rsidRPr="00C76CB6" w:rsidRDefault="008756B1" w:rsidP="008756B1">
          <w:pPr>
            <w:pStyle w:val="Textkrper"/>
            <w:tabs>
              <w:tab w:val="left" w:pos="147"/>
              <w:tab w:val="left" w:pos="1134"/>
              <w:tab w:val="left" w:pos="1304"/>
              <w:tab w:val="left" w:pos="1418"/>
              <w:tab w:val="left" w:pos="1701"/>
              <w:tab w:val="left" w:pos="1985"/>
            </w:tabs>
            <w:spacing w:before="1"/>
            <w:rPr>
              <w:color w:val="231F20"/>
              <w:sz w:val="14"/>
              <w:szCs w:val="14"/>
            </w:rPr>
          </w:pPr>
          <w:r>
            <w:rPr>
              <w:color w:val="231F20"/>
              <w:sz w:val="14"/>
              <w:szCs w:val="14"/>
            </w:rPr>
            <w:br/>
          </w:r>
          <w:r w:rsidRPr="00C76CB6">
            <w:rPr>
              <w:sz w:val="14"/>
              <w:szCs w:val="14"/>
            </w:rPr>
            <w:tab/>
          </w:r>
          <w:proofErr w:type="spellStart"/>
          <w:r w:rsidRPr="00C76CB6">
            <w:rPr>
              <w:color w:val="231F20"/>
              <w:sz w:val="14"/>
              <w:szCs w:val="14"/>
            </w:rPr>
            <w:t>Firmensitz</w:t>
          </w:r>
          <w:proofErr w:type="spellEnd"/>
          <w:r w:rsidRPr="00C76CB6">
            <w:rPr>
              <w:color w:val="231F20"/>
              <w:sz w:val="14"/>
              <w:szCs w:val="14"/>
            </w:rPr>
            <w:t xml:space="preserve"> / </w:t>
          </w:r>
          <w:proofErr w:type="spellStart"/>
          <w:r w:rsidRPr="00C76CB6">
            <w:rPr>
              <w:color w:val="231F20"/>
              <w:sz w:val="14"/>
              <w:szCs w:val="14"/>
            </w:rPr>
            <w:t>Postanschrift</w:t>
          </w:r>
          <w:proofErr w:type="spellEnd"/>
          <w:r w:rsidRPr="00C76CB6">
            <w:rPr>
              <w:color w:val="231F20"/>
              <w:sz w:val="14"/>
              <w:szCs w:val="14"/>
            </w:rPr>
            <w:t>:</w:t>
          </w:r>
        </w:p>
        <w:p w14:paraId="0F38E36E" w14:textId="77777777" w:rsidR="008756B1" w:rsidRPr="00C76CB6" w:rsidRDefault="008756B1" w:rsidP="008756B1">
          <w:pPr>
            <w:pStyle w:val="Textkrper"/>
            <w:tabs>
              <w:tab w:val="left" w:pos="147"/>
              <w:tab w:val="left" w:pos="1134"/>
              <w:tab w:val="left" w:pos="1304"/>
              <w:tab w:val="left" w:pos="1418"/>
              <w:tab w:val="left" w:pos="1701"/>
              <w:tab w:val="left" w:pos="1985"/>
            </w:tabs>
            <w:spacing w:before="1"/>
            <w:rPr>
              <w:color w:val="231F20"/>
              <w:sz w:val="14"/>
              <w:szCs w:val="14"/>
            </w:rPr>
          </w:pPr>
          <w:r w:rsidRPr="00C76CB6">
            <w:rPr>
              <w:sz w:val="14"/>
              <w:szCs w:val="14"/>
            </w:rPr>
            <w:tab/>
          </w:r>
          <w:r w:rsidRPr="00C76CB6">
            <w:rPr>
              <w:color w:val="231F20"/>
              <w:sz w:val="14"/>
              <w:szCs w:val="14"/>
            </w:rPr>
            <w:t xml:space="preserve">Rundum Immobilien GmbH </w:t>
          </w:r>
        </w:p>
        <w:p w14:paraId="14799CC7" w14:textId="77777777" w:rsidR="008756B1" w:rsidRPr="00C76CB6" w:rsidRDefault="008756B1" w:rsidP="008756B1">
          <w:pPr>
            <w:pStyle w:val="Textkrper"/>
            <w:tabs>
              <w:tab w:val="left" w:pos="147"/>
              <w:tab w:val="left" w:pos="1134"/>
              <w:tab w:val="left" w:pos="1304"/>
              <w:tab w:val="left" w:pos="1418"/>
              <w:tab w:val="left" w:pos="1701"/>
              <w:tab w:val="left" w:pos="1985"/>
            </w:tabs>
            <w:spacing w:before="1"/>
            <w:rPr>
              <w:color w:val="231F20"/>
              <w:sz w:val="14"/>
              <w:szCs w:val="14"/>
            </w:rPr>
          </w:pPr>
          <w:bookmarkStart w:id="0" w:name="__DdeLink__1851_3327798640"/>
          <w:r w:rsidRPr="00C76CB6">
            <w:rPr>
              <w:sz w:val="14"/>
              <w:szCs w:val="14"/>
            </w:rPr>
            <w:tab/>
          </w:r>
          <w:proofErr w:type="spellStart"/>
          <w:r w:rsidRPr="00C76CB6">
            <w:rPr>
              <w:color w:val="231F20"/>
              <w:sz w:val="14"/>
              <w:szCs w:val="14"/>
            </w:rPr>
            <w:t>Petersbergstr</w:t>
          </w:r>
          <w:proofErr w:type="spellEnd"/>
          <w:r w:rsidRPr="00C76CB6">
            <w:rPr>
              <w:color w:val="231F20"/>
              <w:sz w:val="14"/>
              <w:szCs w:val="14"/>
            </w:rPr>
            <w:t>. 24</w:t>
          </w:r>
          <w:bookmarkEnd w:id="0"/>
        </w:p>
        <w:p w14:paraId="1880300C" w14:textId="77777777" w:rsidR="008756B1" w:rsidRPr="00C76CB6" w:rsidRDefault="008756B1" w:rsidP="008756B1">
          <w:pPr>
            <w:pStyle w:val="Textkrper"/>
            <w:tabs>
              <w:tab w:val="left" w:pos="147"/>
              <w:tab w:val="left" w:pos="1134"/>
              <w:tab w:val="left" w:pos="1304"/>
              <w:tab w:val="left" w:pos="1418"/>
              <w:tab w:val="left" w:pos="1701"/>
              <w:tab w:val="left" w:pos="1985"/>
            </w:tabs>
            <w:spacing w:before="1"/>
            <w:rPr>
              <w:sz w:val="14"/>
              <w:szCs w:val="14"/>
            </w:rPr>
          </w:pPr>
          <w:r w:rsidRPr="00C76CB6">
            <w:rPr>
              <w:sz w:val="14"/>
              <w:szCs w:val="14"/>
            </w:rPr>
            <w:tab/>
          </w:r>
          <w:r w:rsidRPr="00C76CB6">
            <w:rPr>
              <w:color w:val="231F20"/>
              <w:sz w:val="14"/>
              <w:szCs w:val="14"/>
            </w:rPr>
            <w:t>51702 Bergneustadt</w:t>
          </w:r>
        </w:p>
      </w:tc>
      <w:tc>
        <w:tcPr>
          <w:tcW w:w="1703" w:type="dxa"/>
          <w:tcBorders>
            <w:top w:val="single" w:sz="4" w:space="0" w:color="auto"/>
            <w:left w:val="nil"/>
            <w:bottom w:val="nil"/>
            <w:right w:val="nil"/>
          </w:tcBorders>
          <w:shd w:val="clear" w:color="auto" w:fill="auto"/>
          <w:vAlign w:val="center"/>
        </w:tcPr>
        <w:p w14:paraId="08C00737" w14:textId="77777777" w:rsidR="008756B1"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r>
            <w:rPr>
              <w:color w:val="231F20"/>
              <w:sz w:val="14"/>
              <w:szCs w:val="14"/>
            </w:rPr>
            <w:br/>
            <w:t>Baufi-Oberberg.de</w:t>
          </w:r>
        </w:p>
        <w:p w14:paraId="49E18E10" w14:textId="77777777" w:rsidR="008756B1" w:rsidRPr="00C76CB6"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r w:rsidRPr="00C76CB6">
            <w:rPr>
              <w:color w:val="231F20"/>
              <w:sz w:val="14"/>
              <w:szCs w:val="14"/>
              <w:lang w:val="de-DE"/>
            </w:rPr>
            <w:t>Beratungsbüro</w:t>
          </w:r>
        </w:p>
        <w:p w14:paraId="6D13E7C8" w14:textId="77777777" w:rsidR="008756B1" w:rsidRPr="00C76CB6"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proofErr w:type="spellStart"/>
          <w:r w:rsidRPr="00C76CB6">
            <w:rPr>
              <w:color w:val="231F20"/>
              <w:sz w:val="14"/>
              <w:szCs w:val="14"/>
            </w:rPr>
            <w:t>Hindenburgstr</w:t>
          </w:r>
          <w:proofErr w:type="spellEnd"/>
          <w:r w:rsidRPr="00C76CB6">
            <w:rPr>
              <w:color w:val="231F20"/>
              <w:sz w:val="14"/>
              <w:szCs w:val="14"/>
            </w:rPr>
            <w:t>. 37</w:t>
          </w:r>
        </w:p>
        <w:p w14:paraId="2FAFDA0B" w14:textId="77777777" w:rsidR="008756B1" w:rsidRPr="00C76CB6"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r w:rsidRPr="00C76CB6">
            <w:rPr>
              <w:color w:val="231F20"/>
              <w:sz w:val="14"/>
              <w:szCs w:val="14"/>
            </w:rPr>
            <w:t>51643 Gummersbach</w:t>
          </w:r>
        </w:p>
      </w:tc>
      <w:tc>
        <w:tcPr>
          <w:tcW w:w="2550" w:type="dxa"/>
          <w:tcBorders>
            <w:top w:val="single" w:sz="4" w:space="0" w:color="auto"/>
            <w:left w:val="nil"/>
            <w:bottom w:val="nil"/>
            <w:right w:val="nil"/>
          </w:tcBorders>
          <w:shd w:val="clear" w:color="auto" w:fill="auto"/>
          <w:vAlign w:val="center"/>
        </w:tcPr>
        <w:p w14:paraId="084CB18A" w14:textId="77777777" w:rsidR="008756B1" w:rsidRPr="00C76CB6" w:rsidRDefault="008756B1" w:rsidP="008756B1">
          <w:pPr>
            <w:pStyle w:val="Textkrper"/>
            <w:tabs>
              <w:tab w:val="left" w:pos="599"/>
              <w:tab w:val="left" w:pos="1134"/>
              <w:tab w:val="left" w:pos="1304"/>
              <w:tab w:val="left" w:pos="1418"/>
              <w:tab w:val="left" w:pos="1701"/>
              <w:tab w:val="left" w:pos="1985"/>
            </w:tabs>
            <w:spacing w:before="1"/>
            <w:rPr>
              <w:sz w:val="14"/>
              <w:szCs w:val="14"/>
            </w:rPr>
          </w:pPr>
          <w:r>
            <w:rPr>
              <w:color w:val="231F20"/>
              <w:sz w:val="14"/>
              <w:szCs w:val="14"/>
            </w:rPr>
            <w:br/>
          </w:r>
          <w:proofErr w:type="spellStart"/>
          <w:r w:rsidRPr="00C76CB6">
            <w:rPr>
              <w:color w:val="231F20"/>
              <w:sz w:val="14"/>
              <w:szCs w:val="14"/>
            </w:rPr>
            <w:t>Telefon</w:t>
          </w:r>
          <w:proofErr w:type="spellEnd"/>
          <w:r w:rsidRPr="00C76CB6">
            <w:rPr>
              <w:color w:val="231F20"/>
              <w:sz w:val="14"/>
              <w:szCs w:val="14"/>
            </w:rPr>
            <w:t>:</w:t>
          </w:r>
          <w:r w:rsidRPr="00C76CB6">
            <w:rPr>
              <w:sz w:val="14"/>
              <w:szCs w:val="14"/>
            </w:rPr>
            <w:t xml:space="preserve"> </w:t>
          </w:r>
          <w:r w:rsidRPr="00C76CB6">
            <w:rPr>
              <w:sz w:val="14"/>
              <w:szCs w:val="14"/>
            </w:rPr>
            <w:tab/>
          </w:r>
          <w:r w:rsidRPr="00C76CB6">
            <w:rPr>
              <w:color w:val="231F20"/>
              <w:sz w:val="14"/>
              <w:szCs w:val="14"/>
            </w:rPr>
            <w:t>0 27 63 / 14 93</w:t>
          </w:r>
        </w:p>
        <w:p w14:paraId="0143B0EF" w14:textId="77777777" w:rsidR="008756B1" w:rsidRPr="00C76CB6" w:rsidRDefault="008756B1" w:rsidP="008756B1">
          <w:pPr>
            <w:tabs>
              <w:tab w:val="left" w:pos="599"/>
              <w:tab w:val="left" w:pos="653"/>
              <w:tab w:val="left" w:pos="680"/>
              <w:tab w:val="left" w:pos="1134"/>
              <w:tab w:val="left" w:pos="1304"/>
              <w:tab w:val="left" w:pos="1418"/>
            </w:tabs>
            <w:spacing w:before="11"/>
            <w:ind w:right="-284"/>
            <w:rPr>
              <w:rFonts w:ascii="Source Sans Pro" w:hAnsi="Source Sans Pro"/>
              <w:color w:val="231F20"/>
              <w:sz w:val="14"/>
              <w:szCs w:val="14"/>
            </w:rPr>
          </w:pPr>
          <w:r w:rsidRPr="00C76CB6">
            <w:rPr>
              <w:rFonts w:ascii="Source Sans Pro" w:hAnsi="Source Sans Pro"/>
              <w:color w:val="231F20"/>
              <w:sz w:val="14"/>
              <w:szCs w:val="14"/>
            </w:rPr>
            <w:t>Fax:</w:t>
          </w:r>
          <w:r w:rsidRPr="00C76CB6">
            <w:rPr>
              <w:sz w:val="14"/>
              <w:szCs w:val="14"/>
            </w:rPr>
            <w:t xml:space="preserve"> </w:t>
          </w:r>
          <w:r w:rsidRPr="00C76CB6">
            <w:rPr>
              <w:sz w:val="14"/>
              <w:szCs w:val="14"/>
            </w:rPr>
            <w:tab/>
          </w:r>
          <w:r w:rsidRPr="00C76CB6">
            <w:rPr>
              <w:rFonts w:ascii="Source Sans Pro" w:hAnsi="Source Sans Pro"/>
              <w:color w:val="231F20"/>
              <w:sz w:val="14"/>
              <w:szCs w:val="14"/>
            </w:rPr>
            <w:t>0 27 63 / 91 91 52</w:t>
          </w:r>
        </w:p>
        <w:p w14:paraId="1CE78456" w14:textId="77777777" w:rsidR="008756B1" w:rsidRPr="00C76CB6" w:rsidRDefault="008756B1" w:rsidP="008756B1">
          <w:pPr>
            <w:tabs>
              <w:tab w:val="left" w:pos="599"/>
              <w:tab w:val="left" w:pos="653"/>
              <w:tab w:val="left" w:pos="680"/>
              <w:tab w:val="left" w:pos="1134"/>
              <w:tab w:val="left" w:pos="1304"/>
              <w:tab w:val="left" w:pos="1418"/>
            </w:tabs>
            <w:spacing w:before="11"/>
            <w:ind w:right="-284"/>
            <w:rPr>
              <w:rFonts w:ascii="Source Sans Pro" w:hAnsi="Source Sans Pro"/>
              <w:sz w:val="14"/>
              <w:szCs w:val="14"/>
            </w:rPr>
          </w:pPr>
          <w:r w:rsidRPr="00C76CB6">
            <w:rPr>
              <w:rFonts w:ascii="Source Sans Pro" w:hAnsi="Source Sans Pro"/>
              <w:sz w:val="14"/>
              <w:szCs w:val="14"/>
            </w:rPr>
            <w:t>Mobil</w:t>
          </w:r>
          <w:r w:rsidRPr="00C76CB6">
            <w:rPr>
              <w:sz w:val="14"/>
              <w:szCs w:val="14"/>
            </w:rPr>
            <w:t xml:space="preserve">: </w:t>
          </w:r>
          <w:r w:rsidRPr="00C76CB6">
            <w:rPr>
              <w:sz w:val="14"/>
              <w:szCs w:val="14"/>
            </w:rPr>
            <w:tab/>
          </w:r>
          <w:r w:rsidRPr="00C76CB6">
            <w:rPr>
              <w:rFonts w:ascii="Source Sans Pro" w:hAnsi="Source Sans Pro"/>
              <w:color w:val="231F20"/>
              <w:sz w:val="14"/>
              <w:szCs w:val="14"/>
            </w:rPr>
            <w:t>0178 / 449 33 52</w:t>
          </w:r>
        </w:p>
        <w:p w14:paraId="78CCA3F7" w14:textId="77777777" w:rsidR="008756B1" w:rsidRPr="00C76CB6" w:rsidRDefault="008756B1" w:rsidP="008756B1">
          <w:pPr>
            <w:tabs>
              <w:tab w:val="left" w:pos="599"/>
              <w:tab w:val="left" w:pos="653"/>
              <w:tab w:val="left" w:pos="680"/>
              <w:tab w:val="left" w:pos="1134"/>
              <w:tab w:val="left" w:pos="1304"/>
              <w:tab w:val="left" w:pos="1418"/>
            </w:tabs>
            <w:spacing w:before="12" w:line="252" w:lineRule="auto"/>
            <w:ind w:right="-284"/>
            <w:rPr>
              <w:rFonts w:ascii="Source Sans Pro" w:hAnsi="Source Sans Pro"/>
              <w:sz w:val="14"/>
              <w:szCs w:val="14"/>
            </w:rPr>
          </w:pPr>
          <w:r w:rsidRPr="00C76CB6">
            <w:rPr>
              <w:rFonts w:ascii="Source Sans Pro" w:hAnsi="Source Sans Pro"/>
              <w:color w:val="231F20"/>
              <w:sz w:val="14"/>
              <w:szCs w:val="14"/>
            </w:rPr>
            <w:t>E-Mail:</w:t>
          </w:r>
          <w:r w:rsidRPr="00C76CB6">
            <w:rPr>
              <w:sz w:val="14"/>
              <w:szCs w:val="14"/>
            </w:rPr>
            <w:t xml:space="preserve"> </w:t>
          </w:r>
          <w:r w:rsidRPr="00C76CB6">
            <w:rPr>
              <w:sz w:val="14"/>
              <w:szCs w:val="14"/>
            </w:rPr>
            <w:tab/>
          </w:r>
          <w:hyperlink r:id="rId2">
            <w:r w:rsidRPr="00C76CB6">
              <w:rPr>
                <w:rFonts w:ascii="Source Sans Pro" w:hAnsi="Source Sans Pro"/>
                <w:sz w:val="14"/>
                <w:szCs w:val="14"/>
              </w:rPr>
              <w:t>info@rundumimmobilien.de</w:t>
            </w:r>
          </w:hyperlink>
          <w:r w:rsidRPr="00C76CB6">
            <w:rPr>
              <w:rFonts w:ascii="Source Sans Pro" w:hAnsi="Source Sans Pro"/>
              <w:color w:val="231F20"/>
              <w:sz w:val="14"/>
              <w:szCs w:val="14"/>
            </w:rPr>
            <w:t xml:space="preserve"> </w:t>
          </w:r>
        </w:p>
      </w:tc>
      <w:tc>
        <w:tcPr>
          <w:tcW w:w="2321" w:type="dxa"/>
          <w:tcBorders>
            <w:top w:val="single" w:sz="4" w:space="0" w:color="auto"/>
            <w:left w:val="nil"/>
            <w:bottom w:val="nil"/>
            <w:right w:val="nil"/>
          </w:tcBorders>
          <w:shd w:val="clear" w:color="auto" w:fill="auto"/>
          <w:vAlign w:val="center"/>
        </w:tcPr>
        <w:p w14:paraId="5DBB466F" w14:textId="77777777" w:rsidR="008756B1" w:rsidRPr="00C76CB6"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r>
            <w:rPr>
              <w:color w:val="231F20"/>
              <w:sz w:val="14"/>
              <w:szCs w:val="14"/>
            </w:rPr>
            <w:br/>
          </w:r>
          <w:proofErr w:type="spellStart"/>
          <w:r w:rsidRPr="00C76CB6">
            <w:rPr>
              <w:color w:val="231F20"/>
              <w:sz w:val="14"/>
              <w:szCs w:val="14"/>
            </w:rPr>
            <w:t>Bankverbindung</w:t>
          </w:r>
          <w:proofErr w:type="spellEnd"/>
          <w:r w:rsidRPr="00C76CB6">
            <w:rPr>
              <w:color w:val="231F20"/>
              <w:sz w:val="14"/>
              <w:szCs w:val="14"/>
            </w:rPr>
            <w:t xml:space="preserve">: </w:t>
          </w:r>
          <w:r w:rsidRPr="00C76CB6">
            <w:rPr>
              <w:color w:val="231F20"/>
              <w:sz w:val="14"/>
              <w:szCs w:val="14"/>
            </w:rPr>
            <w:br/>
          </w:r>
          <w:proofErr w:type="spellStart"/>
          <w:r w:rsidRPr="00C76CB6">
            <w:rPr>
              <w:color w:val="231F20"/>
              <w:sz w:val="14"/>
              <w:szCs w:val="14"/>
            </w:rPr>
            <w:t>Volksbank</w:t>
          </w:r>
          <w:proofErr w:type="spellEnd"/>
          <w:r w:rsidRPr="00C76CB6">
            <w:rPr>
              <w:color w:val="231F20"/>
              <w:sz w:val="14"/>
              <w:szCs w:val="14"/>
            </w:rPr>
            <w:t xml:space="preserve"> </w:t>
          </w:r>
          <w:proofErr w:type="spellStart"/>
          <w:r w:rsidRPr="00C76CB6">
            <w:rPr>
              <w:color w:val="231F20"/>
              <w:sz w:val="14"/>
              <w:szCs w:val="14"/>
            </w:rPr>
            <w:t>Oberberg</w:t>
          </w:r>
          <w:proofErr w:type="spellEnd"/>
          <w:r w:rsidRPr="00C76CB6">
            <w:rPr>
              <w:color w:val="231F20"/>
              <w:sz w:val="14"/>
              <w:szCs w:val="14"/>
            </w:rPr>
            <w:t xml:space="preserve"> </w:t>
          </w:r>
          <w:proofErr w:type="spellStart"/>
          <w:r w:rsidRPr="00C76CB6">
            <w:rPr>
              <w:color w:val="231F20"/>
              <w:sz w:val="14"/>
              <w:szCs w:val="14"/>
            </w:rPr>
            <w:t>eG</w:t>
          </w:r>
          <w:proofErr w:type="spellEnd"/>
        </w:p>
        <w:p w14:paraId="7489F0C1" w14:textId="77777777" w:rsidR="008756B1" w:rsidRPr="00C76CB6" w:rsidRDefault="008756B1" w:rsidP="008756B1">
          <w:pPr>
            <w:pStyle w:val="Textkrper"/>
            <w:tabs>
              <w:tab w:val="left" w:pos="599"/>
              <w:tab w:val="left" w:pos="1134"/>
              <w:tab w:val="left" w:pos="1304"/>
              <w:tab w:val="left" w:pos="1418"/>
              <w:tab w:val="left" w:pos="1701"/>
              <w:tab w:val="left" w:pos="1985"/>
            </w:tabs>
            <w:spacing w:before="1"/>
            <w:rPr>
              <w:sz w:val="14"/>
              <w:szCs w:val="14"/>
            </w:rPr>
          </w:pPr>
          <w:r w:rsidRPr="00C76CB6">
            <w:rPr>
              <w:color w:val="231F20"/>
              <w:sz w:val="14"/>
              <w:szCs w:val="14"/>
            </w:rPr>
            <w:t xml:space="preserve">IBAN: DE44 3846 2135 2009 9480 18 </w:t>
          </w:r>
          <w:r w:rsidRPr="00C76CB6">
            <w:rPr>
              <w:color w:val="231F20"/>
              <w:sz w:val="14"/>
              <w:szCs w:val="14"/>
            </w:rPr>
            <w:br/>
            <w:t>BIC: GENODED1WIL</w:t>
          </w:r>
        </w:p>
      </w:tc>
      <w:tc>
        <w:tcPr>
          <w:tcW w:w="2329" w:type="dxa"/>
          <w:tcBorders>
            <w:top w:val="single" w:sz="4" w:space="0" w:color="auto"/>
            <w:left w:val="nil"/>
            <w:bottom w:val="nil"/>
            <w:right w:val="nil"/>
          </w:tcBorders>
          <w:shd w:val="clear" w:color="auto" w:fill="auto"/>
          <w:vAlign w:val="center"/>
        </w:tcPr>
        <w:p w14:paraId="6AE6138C" w14:textId="43C79CF2" w:rsidR="008756B1" w:rsidRPr="00C76CB6" w:rsidRDefault="008756B1" w:rsidP="008756B1">
          <w:pPr>
            <w:pStyle w:val="Textkrper"/>
            <w:tabs>
              <w:tab w:val="left" w:pos="599"/>
              <w:tab w:val="left" w:pos="1134"/>
              <w:tab w:val="left" w:pos="1304"/>
              <w:tab w:val="left" w:pos="1418"/>
              <w:tab w:val="left" w:pos="1701"/>
              <w:tab w:val="left" w:pos="1985"/>
            </w:tabs>
            <w:spacing w:before="1"/>
            <w:rPr>
              <w:color w:val="231F20"/>
              <w:sz w:val="14"/>
              <w:szCs w:val="14"/>
            </w:rPr>
          </w:pPr>
          <w:r>
            <w:rPr>
              <w:color w:val="231F20"/>
              <w:sz w:val="14"/>
              <w:szCs w:val="14"/>
            </w:rPr>
            <w:br/>
          </w:r>
          <w:proofErr w:type="spellStart"/>
          <w:r w:rsidRPr="00C76CB6">
            <w:rPr>
              <w:color w:val="231F20"/>
              <w:sz w:val="14"/>
              <w:szCs w:val="14"/>
            </w:rPr>
            <w:t>Geschäftsführer</w:t>
          </w:r>
          <w:proofErr w:type="spellEnd"/>
          <w:r w:rsidRPr="00C76CB6">
            <w:rPr>
              <w:color w:val="231F20"/>
              <w:sz w:val="14"/>
              <w:szCs w:val="14"/>
            </w:rPr>
            <w:t xml:space="preserve">: Holger Magdzack </w:t>
          </w:r>
          <w:r w:rsidRPr="00C76CB6">
            <w:rPr>
              <w:color w:val="231F20"/>
              <w:sz w:val="14"/>
              <w:szCs w:val="14"/>
            </w:rPr>
            <w:br/>
          </w:r>
          <w:proofErr w:type="spellStart"/>
          <w:r w:rsidRPr="00C76CB6">
            <w:rPr>
              <w:color w:val="231F20"/>
              <w:sz w:val="14"/>
              <w:szCs w:val="14"/>
            </w:rPr>
            <w:t>USt</w:t>
          </w:r>
          <w:proofErr w:type="spellEnd"/>
          <w:r w:rsidRPr="00C76CB6">
            <w:rPr>
              <w:color w:val="231F20"/>
              <w:sz w:val="14"/>
              <w:szCs w:val="14"/>
            </w:rPr>
            <w:t>.-</w:t>
          </w:r>
          <w:proofErr w:type="spellStart"/>
          <w:r w:rsidRPr="00C76CB6">
            <w:rPr>
              <w:color w:val="231F20"/>
              <w:sz w:val="14"/>
              <w:szCs w:val="14"/>
            </w:rPr>
            <w:t>IDNr</w:t>
          </w:r>
          <w:proofErr w:type="spellEnd"/>
          <w:r w:rsidRPr="00C76CB6">
            <w:rPr>
              <w:color w:val="231F20"/>
              <w:sz w:val="14"/>
              <w:szCs w:val="14"/>
            </w:rPr>
            <w:t xml:space="preserve">.: </w:t>
          </w:r>
          <w:r w:rsidR="00AA2800">
            <w:rPr>
              <w:color w:val="231F20"/>
              <w:sz w:val="14"/>
              <w:szCs w:val="14"/>
            </w:rPr>
            <w:t>DE210869283</w:t>
          </w:r>
        </w:p>
        <w:p w14:paraId="1788D062" w14:textId="77777777" w:rsidR="008756B1" w:rsidRPr="00C76CB6" w:rsidRDefault="008756B1" w:rsidP="008756B1">
          <w:pPr>
            <w:pStyle w:val="Textkrper"/>
            <w:tabs>
              <w:tab w:val="left" w:pos="599"/>
              <w:tab w:val="left" w:pos="1134"/>
              <w:tab w:val="left" w:pos="1304"/>
              <w:tab w:val="left" w:pos="1418"/>
              <w:tab w:val="left" w:pos="1701"/>
              <w:tab w:val="left" w:pos="1985"/>
            </w:tabs>
            <w:spacing w:before="1"/>
            <w:rPr>
              <w:sz w:val="14"/>
              <w:szCs w:val="14"/>
            </w:rPr>
          </w:pPr>
          <w:proofErr w:type="spellStart"/>
          <w:r w:rsidRPr="00C76CB6">
            <w:rPr>
              <w:color w:val="231F20"/>
              <w:sz w:val="14"/>
              <w:szCs w:val="14"/>
            </w:rPr>
            <w:t>Handelsregisternr</w:t>
          </w:r>
          <w:proofErr w:type="spellEnd"/>
          <w:r w:rsidRPr="00C76CB6">
            <w:rPr>
              <w:color w:val="231F20"/>
              <w:sz w:val="14"/>
              <w:szCs w:val="14"/>
            </w:rPr>
            <w:t xml:space="preserve">. HRB 39580 </w:t>
          </w:r>
          <w:proofErr w:type="spellStart"/>
          <w:r w:rsidRPr="00C76CB6">
            <w:rPr>
              <w:color w:val="231F20"/>
              <w:sz w:val="14"/>
              <w:szCs w:val="14"/>
            </w:rPr>
            <w:t>Registergericht</w:t>
          </w:r>
          <w:proofErr w:type="spellEnd"/>
          <w:r w:rsidRPr="00C76CB6">
            <w:rPr>
              <w:color w:val="231F20"/>
              <w:sz w:val="14"/>
              <w:szCs w:val="14"/>
            </w:rPr>
            <w:t xml:space="preserve">: </w:t>
          </w:r>
          <w:proofErr w:type="spellStart"/>
          <w:r w:rsidRPr="00C76CB6">
            <w:rPr>
              <w:color w:val="231F20"/>
              <w:sz w:val="14"/>
              <w:szCs w:val="14"/>
            </w:rPr>
            <w:t>Amtsgericht</w:t>
          </w:r>
          <w:proofErr w:type="spellEnd"/>
          <w:r w:rsidRPr="00C76CB6">
            <w:rPr>
              <w:color w:val="231F20"/>
              <w:sz w:val="14"/>
              <w:szCs w:val="14"/>
            </w:rPr>
            <w:t xml:space="preserve"> Köln</w:t>
          </w:r>
        </w:p>
      </w:tc>
    </w:tr>
  </w:tbl>
  <w:p w14:paraId="303D1D1D" w14:textId="77777777" w:rsidR="008756B1" w:rsidRPr="008756B1" w:rsidRDefault="008756B1">
    <w:pPr>
      <w:pStyle w:val="Fuzeile"/>
      <w:rPr>
        <w:sz w:val="2"/>
      </w:rPr>
    </w:pPr>
    <w:r>
      <w:rPr>
        <w:noProof/>
        <w:sz w:val="12"/>
        <w:szCs w:val="20"/>
      </w:rPr>
      <w:drawing>
        <wp:anchor distT="0" distB="0" distL="0" distR="0" simplePos="0" relativeHeight="251661312" behindDoc="1" locked="0" layoutInCell="1" allowOverlap="1" wp14:anchorId="44C41C8C" wp14:editId="32880C04">
          <wp:simplePos x="0" y="0"/>
          <wp:positionH relativeFrom="column">
            <wp:posOffset>5719444</wp:posOffset>
          </wp:positionH>
          <wp:positionV relativeFrom="paragraph">
            <wp:posOffset>-1454150</wp:posOffset>
          </wp:positionV>
          <wp:extent cx="533269" cy="707794"/>
          <wp:effectExtent l="0" t="0" r="635" b="0"/>
          <wp:wrapNone/>
          <wp:docPr id="3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544843" cy="7231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2"/>
        <w:szCs w:val="20"/>
      </w:rPr>
      <w:drawing>
        <wp:anchor distT="0" distB="0" distL="0" distR="0" simplePos="0" relativeHeight="251665408" behindDoc="1" locked="0" layoutInCell="1" allowOverlap="1" wp14:anchorId="2841B12C" wp14:editId="7B36B5E7">
          <wp:simplePos x="0" y="0"/>
          <wp:positionH relativeFrom="page">
            <wp:posOffset>4324350</wp:posOffset>
          </wp:positionH>
          <wp:positionV relativeFrom="paragraph">
            <wp:posOffset>-1195334</wp:posOffset>
          </wp:positionV>
          <wp:extent cx="1217295" cy="440055"/>
          <wp:effectExtent l="0" t="0" r="1905"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a:picLocks noChangeAspect="1" noChangeArrowheads="1"/>
                  </pic:cNvPicPr>
                </pic:nvPicPr>
                <pic:blipFill>
                  <a:blip r:embed="rId4"/>
                  <a:stretch>
                    <a:fillRect/>
                  </a:stretch>
                </pic:blipFill>
                <pic:spPr bwMode="auto">
                  <a:xfrm>
                    <a:off x="0" y="0"/>
                    <a:ext cx="1217295" cy="440055"/>
                  </a:xfrm>
                  <a:prstGeom prst="rect">
                    <a:avLst/>
                  </a:prstGeom>
                </pic:spPr>
              </pic:pic>
            </a:graphicData>
          </a:graphic>
          <wp14:sizeRelH relativeFrom="margin">
            <wp14:pctWidth>0</wp14:pctWidth>
          </wp14:sizeRelH>
          <wp14:sizeRelV relativeFrom="margin">
            <wp14:pctHeight>0</wp14:pctHeight>
          </wp14:sizeRelV>
        </wp:anchor>
      </w:drawing>
    </w:r>
    <w:r>
      <w:rPr>
        <w:noProof/>
        <w:sz w:val="12"/>
        <w:szCs w:val="20"/>
      </w:rPr>
      <w:drawing>
        <wp:anchor distT="0" distB="0" distL="0" distR="0" simplePos="0" relativeHeight="251663360" behindDoc="1" locked="0" layoutInCell="1" allowOverlap="1" wp14:anchorId="7CED65B6" wp14:editId="3A63EEA1">
          <wp:simplePos x="0" y="0"/>
          <wp:positionH relativeFrom="column">
            <wp:posOffset>-540385</wp:posOffset>
          </wp:positionH>
          <wp:positionV relativeFrom="paragraph">
            <wp:posOffset>-1390279</wp:posOffset>
          </wp:positionV>
          <wp:extent cx="1299210" cy="718820"/>
          <wp:effectExtent l="0" t="0" r="0" b="0"/>
          <wp:wrapNone/>
          <wp:docPr id="3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5"/>
                  <a:stretch>
                    <a:fillRect/>
                  </a:stretch>
                </pic:blipFill>
                <pic:spPr bwMode="auto">
                  <a:xfrm>
                    <a:off x="0" y="0"/>
                    <a:ext cx="1299210" cy="7188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B4836" w14:textId="77777777" w:rsidR="00F65067" w:rsidRDefault="00F65067" w:rsidP="008756B1">
      <w:pPr>
        <w:spacing w:after="0" w:line="240" w:lineRule="auto"/>
      </w:pPr>
      <w:r>
        <w:separator/>
      </w:r>
    </w:p>
  </w:footnote>
  <w:footnote w:type="continuationSeparator" w:id="0">
    <w:p w14:paraId="4CF9B172" w14:textId="77777777" w:rsidR="00F65067" w:rsidRDefault="00F65067" w:rsidP="00875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FF83" w14:textId="77777777" w:rsidR="0029491E" w:rsidRPr="0027488B" w:rsidRDefault="00246F34" w:rsidP="0027488B">
    <w:pPr>
      <w:pStyle w:val="Kopfzeile"/>
      <w:tabs>
        <w:tab w:val="clear" w:pos="4536"/>
        <w:tab w:val="clear" w:pos="9072"/>
        <w:tab w:val="left" w:pos="7088"/>
        <w:tab w:val="left" w:pos="7144"/>
      </w:tabs>
      <w:ind w:right="-284"/>
      <w:rPr>
        <w:sz w:val="28"/>
        <w:szCs w:val="24"/>
      </w:rPr>
    </w:pPr>
    <w:r>
      <w:rPr>
        <w:noProof/>
      </w:rPr>
      <w:drawing>
        <wp:anchor distT="0" distB="0" distL="114300" distR="114300" simplePos="0" relativeHeight="251669504" behindDoc="1" locked="0" layoutInCell="1" allowOverlap="1" wp14:anchorId="08E0FB0D" wp14:editId="3A0BDAAB">
          <wp:simplePos x="0" y="0"/>
          <wp:positionH relativeFrom="column">
            <wp:posOffset>-681990</wp:posOffset>
          </wp:positionH>
          <wp:positionV relativeFrom="paragraph">
            <wp:posOffset>-183886</wp:posOffset>
          </wp:positionV>
          <wp:extent cx="6993460" cy="8448013"/>
          <wp:effectExtent l="0" t="0" r="0" b="0"/>
          <wp:wrapNone/>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3460" cy="84480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4A0BED" w14:textId="77777777" w:rsidR="0029491E" w:rsidRPr="0027488B" w:rsidRDefault="0029491E" w:rsidP="0027488B">
    <w:pPr>
      <w:pStyle w:val="Kopfzeile"/>
      <w:tabs>
        <w:tab w:val="clear" w:pos="4536"/>
        <w:tab w:val="clear" w:pos="9072"/>
        <w:tab w:val="left" w:pos="6804"/>
        <w:tab w:val="left" w:pos="7088"/>
        <w:tab w:val="left" w:pos="7144"/>
      </w:tabs>
      <w:ind w:right="-284"/>
      <w:rPr>
        <w:sz w:val="28"/>
        <w:szCs w:val="24"/>
      </w:rPr>
    </w:pPr>
  </w:p>
  <w:p w14:paraId="53B83393" w14:textId="77777777" w:rsidR="0029491E" w:rsidRPr="0027488B" w:rsidRDefault="0029491E" w:rsidP="0027488B">
    <w:pPr>
      <w:pStyle w:val="Kopfzeile"/>
      <w:tabs>
        <w:tab w:val="clear" w:pos="4536"/>
        <w:tab w:val="clear" w:pos="9072"/>
        <w:tab w:val="left" w:pos="6804"/>
        <w:tab w:val="left" w:pos="7088"/>
        <w:tab w:val="left" w:pos="7144"/>
      </w:tabs>
      <w:ind w:right="-284"/>
      <w:rPr>
        <w:sz w:val="28"/>
        <w:szCs w:val="24"/>
      </w:rPr>
    </w:pPr>
  </w:p>
  <w:p w14:paraId="5C9F7C3F" w14:textId="77777777" w:rsidR="0029491E" w:rsidRDefault="0029491E" w:rsidP="0027488B">
    <w:pPr>
      <w:pStyle w:val="Kopfzeile"/>
      <w:tabs>
        <w:tab w:val="clear" w:pos="4536"/>
        <w:tab w:val="clear" w:pos="9072"/>
        <w:tab w:val="left" w:pos="6804"/>
        <w:tab w:val="left" w:pos="7088"/>
        <w:tab w:val="left" w:pos="7144"/>
      </w:tabs>
      <w:ind w:right="-284"/>
    </w:pPr>
  </w:p>
  <w:p w14:paraId="6D6E61AA" w14:textId="77777777" w:rsidR="0029491E" w:rsidRPr="0029491E" w:rsidRDefault="0027488B" w:rsidP="0027488B">
    <w:pPr>
      <w:pStyle w:val="Kopfzeile"/>
      <w:tabs>
        <w:tab w:val="left" w:pos="6804"/>
        <w:tab w:val="left" w:pos="7088"/>
        <w:tab w:val="left" w:pos="7144"/>
      </w:tabs>
      <w:ind w:right="-284"/>
      <w:rPr>
        <w:sz w:val="16"/>
        <w:szCs w:val="16"/>
      </w:rPr>
    </w:pPr>
    <w:r>
      <w:tab/>
    </w:r>
    <w:r>
      <w:tab/>
    </w:r>
    <w:r w:rsidR="0029491E">
      <w:tab/>
    </w:r>
    <w:r w:rsidR="0029491E">
      <w:tab/>
    </w:r>
    <w:r w:rsidR="0029491E" w:rsidRPr="0029491E">
      <w:rPr>
        <w:sz w:val="16"/>
        <w:szCs w:val="16"/>
      </w:rPr>
      <w:t>Verkauf · Vermietung</w:t>
    </w:r>
  </w:p>
  <w:p w14:paraId="3EA59C5C" w14:textId="77777777" w:rsidR="0029491E" w:rsidRPr="0029491E" w:rsidRDefault="0027488B" w:rsidP="0027488B">
    <w:pPr>
      <w:pStyle w:val="Kopfzeile"/>
      <w:tabs>
        <w:tab w:val="left" w:pos="6804"/>
        <w:tab w:val="left" w:pos="7088"/>
        <w:tab w:val="left" w:pos="7144"/>
      </w:tabs>
      <w:ind w:right="-284"/>
      <w:rPr>
        <w:sz w:val="16"/>
        <w:szCs w:val="16"/>
      </w:rPr>
    </w:pPr>
    <w:r>
      <w:rPr>
        <w:sz w:val="16"/>
        <w:szCs w:val="16"/>
      </w:rPr>
      <w:tab/>
    </w:r>
    <w:r>
      <w:rPr>
        <w:sz w:val="16"/>
        <w:szCs w:val="16"/>
      </w:rPr>
      <w:tab/>
    </w:r>
    <w:r>
      <w:rPr>
        <w:sz w:val="16"/>
        <w:szCs w:val="16"/>
      </w:rPr>
      <w:tab/>
    </w:r>
    <w:r w:rsidR="0029491E" w:rsidRPr="0029491E">
      <w:rPr>
        <w:sz w:val="16"/>
        <w:szCs w:val="16"/>
      </w:rPr>
      <w:tab/>
    </w:r>
    <w:r w:rsidR="0029491E" w:rsidRPr="0029491E">
      <w:rPr>
        <w:sz w:val="16"/>
        <w:szCs w:val="16"/>
      </w:rPr>
      <w:tab/>
      <w:t>Hausverwaltung · Dienstleistungen</w:t>
    </w:r>
  </w:p>
  <w:p w14:paraId="726C5AF2" w14:textId="77777777" w:rsidR="0029491E" w:rsidRDefault="0029491E" w:rsidP="0027488B">
    <w:pPr>
      <w:pStyle w:val="Kopfzeile"/>
      <w:tabs>
        <w:tab w:val="clear" w:pos="4536"/>
        <w:tab w:val="clear" w:pos="9072"/>
        <w:tab w:val="left" w:pos="6804"/>
        <w:tab w:val="left" w:pos="7088"/>
        <w:tab w:val="left" w:pos="7144"/>
      </w:tabs>
      <w:ind w:right="-284"/>
    </w:pPr>
    <w:r>
      <w:tab/>
    </w:r>
    <w:r w:rsidR="0027488B">
      <w:tab/>
    </w:r>
    <w:r w:rsidR="0027488B">
      <w:tab/>
    </w:r>
    <w:r w:rsidRPr="0029491E">
      <w:rPr>
        <w:rFonts w:ascii="Source Sans Pro" w:hAnsi="Source Sans Pro"/>
        <w:b/>
        <w:color w:val="0070C0"/>
      </w:rPr>
      <w:t>www.rundumimmobilien.de</w:t>
    </w:r>
  </w:p>
  <w:p w14:paraId="41E9FAD6" w14:textId="77777777" w:rsidR="0029491E" w:rsidRPr="0029491E" w:rsidRDefault="0029491E" w:rsidP="0027488B">
    <w:pPr>
      <w:pStyle w:val="Kopfzeile"/>
      <w:tabs>
        <w:tab w:val="clear" w:pos="4536"/>
        <w:tab w:val="clear" w:pos="9072"/>
        <w:tab w:val="left" w:pos="6804"/>
        <w:tab w:val="left" w:pos="7088"/>
        <w:tab w:val="left" w:pos="7144"/>
      </w:tabs>
      <w:ind w:right="-284"/>
      <w:rPr>
        <w:sz w:val="12"/>
      </w:rPr>
    </w:pPr>
  </w:p>
  <w:p w14:paraId="4848C693" w14:textId="77777777" w:rsidR="0029491E" w:rsidRDefault="0027488B" w:rsidP="0027488B">
    <w:pPr>
      <w:pStyle w:val="Kopfzeile"/>
      <w:tabs>
        <w:tab w:val="clear" w:pos="4536"/>
        <w:tab w:val="clear" w:pos="9072"/>
        <w:tab w:val="left" w:pos="6804"/>
        <w:tab w:val="left" w:pos="7088"/>
        <w:tab w:val="left" w:pos="7144"/>
      </w:tabs>
      <w:ind w:right="-284"/>
    </w:pPr>
    <w:r>
      <w:tab/>
    </w:r>
    <w:r w:rsidR="0029491E">
      <w:tab/>
    </w:r>
    <w:r>
      <w:tab/>
    </w:r>
    <w:r w:rsidR="0029491E">
      <w:rPr>
        <w:sz w:val="16"/>
        <w:szCs w:val="16"/>
      </w:rPr>
      <w:t>Baufinanzierungen:</w:t>
    </w:r>
  </w:p>
  <w:p w14:paraId="2AF6BF49" w14:textId="77777777" w:rsidR="0029491E" w:rsidRDefault="0027488B" w:rsidP="0027488B">
    <w:pPr>
      <w:pStyle w:val="Kopfzeile"/>
      <w:tabs>
        <w:tab w:val="clear" w:pos="4536"/>
        <w:tab w:val="clear" w:pos="9072"/>
        <w:tab w:val="left" w:pos="6804"/>
        <w:tab w:val="left" w:pos="7088"/>
        <w:tab w:val="left" w:pos="7144"/>
      </w:tabs>
      <w:ind w:right="-284"/>
    </w:pPr>
    <w:r>
      <w:tab/>
    </w:r>
    <w:r w:rsidR="0029491E">
      <w:tab/>
    </w:r>
    <w:r>
      <w:tab/>
    </w:r>
    <w:r w:rsidR="0029491E" w:rsidRPr="0029491E">
      <w:rPr>
        <w:rFonts w:ascii="Source Sans Pro" w:hAnsi="Source Sans Pro"/>
        <w:b/>
        <w:color w:val="0070C0"/>
      </w:rPr>
      <w:t>www.baufi-oberberg.de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56CDA"/>
    <w:multiLevelType w:val="hybridMultilevel"/>
    <w:tmpl w:val="6CC09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2D36AC"/>
    <w:multiLevelType w:val="multilevel"/>
    <w:tmpl w:val="614E5B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788B41B1"/>
    <w:multiLevelType w:val="hybridMultilevel"/>
    <w:tmpl w:val="EA569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F2E5B28"/>
    <w:multiLevelType w:val="hybridMultilevel"/>
    <w:tmpl w:val="CCBE4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B1"/>
    <w:rsid w:val="001B067F"/>
    <w:rsid w:val="001C5D4A"/>
    <w:rsid w:val="00202025"/>
    <w:rsid w:val="002065CB"/>
    <w:rsid w:val="00246F34"/>
    <w:rsid w:val="00250792"/>
    <w:rsid w:val="0027488B"/>
    <w:rsid w:val="0029491E"/>
    <w:rsid w:val="003335BC"/>
    <w:rsid w:val="003F78A7"/>
    <w:rsid w:val="004D1C04"/>
    <w:rsid w:val="00726F7F"/>
    <w:rsid w:val="00745ACC"/>
    <w:rsid w:val="007A547D"/>
    <w:rsid w:val="00805C71"/>
    <w:rsid w:val="00826C22"/>
    <w:rsid w:val="008664B4"/>
    <w:rsid w:val="008756B1"/>
    <w:rsid w:val="00A924D5"/>
    <w:rsid w:val="00A93826"/>
    <w:rsid w:val="00AA2800"/>
    <w:rsid w:val="00AF3119"/>
    <w:rsid w:val="00B22A01"/>
    <w:rsid w:val="00C05969"/>
    <w:rsid w:val="00C1348A"/>
    <w:rsid w:val="00CA7A66"/>
    <w:rsid w:val="00CD6947"/>
    <w:rsid w:val="00CF3AF7"/>
    <w:rsid w:val="00CF7B9E"/>
    <w:rsid w:val="00D00D74"/>
    <w:rsid w:val="00DA790C"/>
    <w:rsid w:val="00ED2050"/>
    <w:rsid w:val="00ED5718"/>
    <w:rsid w:val="00F42841"/>
    <w:rsid w:val="00F65067"/>
    <w:rsid w:val="00F75E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22AD0"/>
  <w15:chartTrackingRefBased/>
  <w15:docId w15:val="{B0668B26-916D-472D-983D-450C142F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5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56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56B1"/>
  </w:style>
  <w:style w:type="paragraph" w:styleId="Fuzeile">
    <w:name w:val="footer"/>
    <w:basedOn w:val="Standard"/>
    <w:link w:val="FuzeileZchn"/>
    <w:uiPriority w:val="99"/>
    <w:unhideWhenUsed/>
    <w:rsid w:val="008756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56B1"/>
  </w:style>
  <w:style w:type="paragraph" w:styleId="Textkrper">
    <w:name w:val="Body Text"/>
    <w:basedOn w:val="Standard"/>
    <w:link w:val="TextkrperZchn"/>
    <w:uiPriority w:val="1"/>
    <w:qFormat/>
    <w:rsid w:val="008756B1"/>
    <w:pPr>
      <w:widowControl w:val="0"/>
      <w:spacing w:after="0" w:line="240" w:lineRule="auto"/>
    </w:pPr>
    <w:rPr>
      <w:rFonts w:ascii="Source Sans Pro" w:eastAsia="Source Sans Pro" w:hAnsi="Source Sans Pro" w:cs="Source Sans Pro"/>
      <w:lang w:eastAsia="de-DE" w:bidi="de-DE"/>
    </w:rPr>
  </w:style>
  <w:style w:type="character" w:customStyle="1" w:styleId="TextkrperZchn">
    <w:name w:val="Textkörper Zchn"/>
    <w:basedOn w:val="Absatz-Standardschriftart"/>
    <w:link w:val="Textkrper"/>
    <w:uiPriority w:val="1"/>
    <w:rsid w:val="008756B1"/>
    <w:rPr>
      <w:rFonts w:ascii="Source Sans Pro" w:eastAsia="Source Sans Pro" w:hAnsi="Source Sans Pro" w:cs="Source Sans Pro"/>
      <w:lang w:eastAsia="de-DE" w:bidi="de-DE"/>
    </w:rPr>
  </w:style>
  <w:style w:type="table" w:styleId="Tabellenraster">
    <w:name w:val="Table Grid"/>
    <w:basedOn w:val="NormaleTabelle"/>
    <w:uiPriority w:val="39"/>
    <w:rsid w:val="008756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9491E"/>
    <w:rPr>
      <w:color w:val="0563C1" w:themeColor="hyperlink"/>
      <w:u w:val="single"/>
    </w:rPr>
  </w:style>
  <w:style w:type="character" w:styleId="NichtaufgelsteErwhnung">
    <w:name w:val="Unresolved Mention"/>
    <w:basedOn w:val="Absatz-Standardschriftart"/>
    <w:uiPriority w:val="99"/>
    <w:semiHidden/>
    <w:unhideWhenUsed/>
    <w:rsid w:val="0029491E"/>
    <w:rPr>
      <w:color w:val="605E5C"/>
      <w:shd w:val="clear" w:color="auto" w:fill="E1DFDD"/>
    </w:rPr>
  </w:style>
  <w:style w:type="paragraph" w:styleId="Listenabsatz">
    <w:name w:val="List Paragraph"/>
    <w:basedOn w:val="Standard"/>
    <w:uiPriority w:val="34"/>
    <w:qFormat/>
    <w:rsid w:val="00CF3A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mailto:info@rundumimmobilien.de" TargetMode="External"/><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 Vorländer</dc:creator>
  <cp:keywords/>
  <dc:description/>
  <cp:lastModifiedBy>Holger Magdzack</cp:lastModifiedBy>
  <cp:revision>6</cp:revision>
  <cp:lastPrinted>2022-02-01T08:14:00Z</cp:lastPrinted>
  <dcterms:created xsi:type="dcterms:W3CDTF">2022-01-31T11:36:00Z</dcterms:created>
  <dcterms:modified xsi:type="dcterms:W3CDTF">2022-02-01T08:35:00Z</dcterms:modified>
</cp:coreProperties>
</file>